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B7EE6E1" w14:textId="09E59927" w:rsidR="00084021" w:rsidRPr="00084021" w:rsidRDefault="00824A4F" w:rsidP="00084021">
      <w:pPr>
        <w:pStyle w:val="Akapitzlist"/>
        <w:numPr>
          <w:ilvl w:val="1"/>
          <w:numId w:val="1"/>
        </w:numPr>
        <w:spacing w:after="160" w:line="259" w:lineRule="auto"/>
        <w:ind w:left="567" w:hanging="28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084021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E84D9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Gminna Biblioteka P</w:t>
      </w:r>
      <w:r w:rsidR="00084021" w:rsidRPr="0008402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ubliczna w Nowem, </w:t>
      </w:r>
      <w:r w:rsidR="001F61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084021" w:rsidRPr="0008402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plac Z</w:t>
      </w:r>
      <w:r w:rsidR="001F612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amkowy 3, 86-170 Nowe, tel.: 52–33-27-081, adres e-</w:t>
      </w:r>
      <w:r w:rsidR="00084021" w:rsidRPr="0008402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mail: </w:t>
      </w:r>
      <w:hyperlink r:id="rId5" w:history="1">
        <w:r w:rsidR="00084021" w:rsidRPr="00B8787A">
          <w:rPr>
            <w:rStyle w:val="Hipercze"/>
            <w:rFonts w:ascii="Times New Roman" w:eastAsiaTheme="minorEastAsia" w:hAnsi="Times New Roman" w:cs="Times New Roman"/>
            <w:b/>
            <w:bCs/>
            <w:sz w:val="24"/>
            <w:szCs w:val="24"/>
            <w:lang w:eastAsia="pl-PL"/>
          </w:rPr>
          <w:t>biblioteka@gminanowe.pl</w:t>
        </w:r>
      </w:hyperlink>
      <w:r w:rsidR="0008402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4021" w:rsidRPr="0008402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6F22182" w14:textId="5D30237D" w:rsidR="00824A4F" w:rsidRPr="00084021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402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084021" w:rsidRPr="00B8787A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084021">
        <w:rPr>
          <w:rFonts w:ascii="Times New Roman" w:hAnsi="Times New Roman" w:cs="Times New Roman"/>
          <w:sz w:val="24"/>
          <w:szCs w:val="24"/>
        </w:rPr>
        <w:t xml:space="preserve"> </w:t>
      </w:r>
      <w:r w:rsidRPr="00084021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21FC64F3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B8530D">
        <w:rPr>
          <w:rFonts w:ascii="Times New Roman" w:hAnsi="Times New Roman" w:cs="Times New Roman"/>
          <w:b/>
          <w:bCs/>
          <w:sz w:val="24"/>
          <w:szCs w:val="24"/>
        </w:rPr>
        <w:t>w celu przeprowadzenia postępowania rekrutacyjnego</w:t>
      </w:r>
      <w:r w:rsidRPr="00B8530D">
        <w:rPr>
          <w:b/>
          <w:bCs/>
          <w:vertAlign w:val="superscript"/>
        </w:rPr>
        <w:t>1,2</w:t>
      </w:r>
      <w:r w:rsidRPr="00B853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B98741" w14:textId="77777777"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5DD7D348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</w:t>
      </w:r>
      <w:r w:rsidR="00084021">
        <w:rPr>
          <w:rFonts w:ascii="Times New Roman" w:hAnsi="Times New Roman" w:cs="Times New Roman"/>
          <w:sz w:val="24"/>
          <w:szCs w:val="24"/>
        </w:rPr>
        <w:t>n</w:t>
      </w:r>
      <w:r w:rsidR="00084021" w:rsidRPr="00084021">
        <w:rPr>
          <w:rFonts w:ascii="Times New Roman" w:hAnsi="Times New Roman" w:cs="Times New Roman"/>
          <w:sz w:val="24"/>
          <w:szCs w:val="24"/>
        </w:rPr>
        <w:t>2021 r., poz. 1162</w:t>
      </w:r>
      <w:r>
        <w:rPr>
          <w:rFonts w:ascii="Times New Roman" w:hAnsi="Times New Roman" w:cs="Times New Roman"/>
          <w:sz w:val="24"/>
          <w:szCs w:val="24"/>
        </w:rPr>
        <w:t>.)</w:t>
      </w:r>
      <w:r w:rsidR="00084021"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C12173" w14:textId="77777777" w:rsidR="00084021" w:rsidRPr="00084021" w:rsidRDefault="00084021" w:rsidP="00084021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084021">
        <w:rPr>
          <w:rFonts w:ascii="Times New Roman" w:hAnsi="Times New Roman" w:cs="Times New Roman"/>
          <w:sz w:val="24"/>
          <w:szCs w:val="24"/>
        </w:rPr>
        <w:t xml:space="preserve">Państwa dane zgromadzone w obecnym procesie rekrutacyjnym będą usuwane niezwłocznie po zakończeniu postępowania rekrutacyjnego. </w:t>
      </w:r>
    </w:p>
    <w:p w14:paraId="65292E2B" w14:textId="0CD67DCD" w:rsidR="00084021" w:rsidRDefault="00084021" w:rsidP="00084021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84021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 12 miesięcy od chwili otrzymania przez Administratora aplikacji rekrutacyjnej</w:t>
      </w:r>
      <w:r>
        <w:rPr>
          <w:rFonts w:ascii="Times New Roman" w:hAnsi="Times New Roman" w:cs="Times New Roman"/>
          <w:sz w:val="24"/>
          <w:szCs w:val="24"/>
        </w:rPr>
        <w:t xml:space="preserve"> lub do czasu wycofania zgody. Dokumentacja rekrutacyjna osoby zatrudnianej zostanie załączona do jej akt osobowych.</w:t>
      </w:r>
    </w:p>
    <w:p w14:paraId="1123ADA6" w14:textId="77777777" w:rsidR="00084021" w:rsidRDefault="00084021" w:rsidP="00084021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556CE0A" w14:textId="77777777" w:rsidR="00824A4F" w:rsidRPr="00084021" w:rsidRDefault="00824A4F" w:rsidP="00084021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21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2E2B30AC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bookmarkStart w:id="1" w:name="_GoBack"/>
      <w:bookmarkEnd w:id="1"/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1FB0F09D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689B">
        <w:rPr>
          <w:rFonts w:ascii="Times New Roman" w:hAnsi="Times New Roman" w:cs="Times New Roman"/>
          <w:sz w:val="24"/>
          <w:szCs w:val="24"/>
        </w:rPr>
        <w:t xml:space="preserve">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20165B48" w14:textId="77777777" w:rsidR="00084021" w:rsidRPr="00084021" w:rsidRDefault="00084021" w:rsidP="00084021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21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14B89F25" w14:textId="79B144D0" w:rsidR="00084021" w:rsidRPr="00084021" w:rsidRDefault="00B62DBF" w:rsidP="00B62DBF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="00084021" w:rsidRPr="00084021">
        <w:rPr>
          <w:rFonts w:ascii="Times New Roman" w:hAnsi="Times New Roman" w:cs="Times New Roman"/>
          <w:sz w:val="24"/>
          <w:szCs w:val="24"/>
        </w:rPr>
        <w:t xml:space="preserve">dane mogą zostać przekazane podmiotom zewnętrznym na podstawie umowy powierzenia przetwarzania danych osobowych - dostawcy usług poczty mailowej, SAPO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84021" w:rsidRPr="00084021">
        <w:rPr>
          <w:rFonts w:ascii="Times New Roman" w:hAnsi="Times New Roman" w:cs="Times New Roman"/>
          <w:sz w:val="24"/>
          <w:szCs w:val="24"/>
        </w:rPr>
        <w:t xml:space="preserve"> Nowem prowadzącemu obsługę księgowo – kadrową biblioteki,</w:t>
      </w:r>
      <w:r>
        <w:rPr>
          <w:rFonts w:ascii="Times New Roman" w:hAnsi="Times New Roman" w:cs="Times New Roman"/>
          <w:sz w:val="24"/>
          <w:szCs w:val="24"/>
        </w:rPr>
        <w:t xml:space="preserve"> Medycyna pracy</w:t>
      </w:r>
      <w:r w:rsidR="00084021" w:rsidRPr="00084021">
        <w:rPr>
          <w:rFonts w:ascii="Times New Roman" w:hAnsi="Times New Roman" w:cs="Times New Roman"/>
          <w:sz w:val="24"/>
          <w:szCs w:val="24"/>
        </w:rPr>
        <w:t>;. Ponadto dane osobowe są ujawniane dostawcy usług pocztowych w przypadku korespondencji prowadzonej drogą pocztową, a także podmiotom lub organom uprawnionym na podstawie przepisów prawa.</w:t>
      </w:r>
    </w:p>
    <w:p w14:paraId="620B7E84" w14:textId="77777777" w:rsidR="00084021" w:rsidRPr="00B62DBF" w:rsidRDefault="00084021" w:rsidP="00B62DBF">
      <w:pPr>
        <w:pStyle w:val="Akapitzlist"/>
        <w:spacing w:after="16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DCDC63F" w14:textId="5A3B569F" w:rsidR="00B8530D" w:rsidRDefault="00B8530D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76F5CB" w14:textId="3BC03308" w:rsidR="00B8530D" w:rsidRDefault="00B8530D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7727BEB" w14:textId="77A4BD6D" w:rsidR="00B8530D" w:rsidRDefault="00B8530D" w:rsidP="00B8530D">
      <w:pPr>
        <w:pStyle w:val="Akapitzlist"/>
        <w:spacing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p w14:paraId="060403F9" w14:textId="63192738" w:rsidR="00B8530D" w:rsidRDefault="00B8530D" w:rsidP="00B8530D">
      <w:pPr>
        <w:pStyle w:val="Akapitzlist"/>
        <w:spacing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14:paraId="57027F49" w14:textId="67C2086E" w:rsidR="00B8530D" w:rsidRDefault="00B8530D" w:rsidP="00B8530D">
      <w:pPr>
        <w:pStyle w:val="Akapitzlist"/>
        <w:spacing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4DD7179" w14:textId="77777777"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7C89D0" w16cex:dateUtc="2019-05-07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9D1970" w16cid:durableId="207C89D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F"/>
    <w:rsid w:val="00084021"/>
    <w:rsid w:val="0013651C"/>
    <w:rsid w:val="001F6126"/>
    <w:rsid w:val="00824A4F"/>
    <w:rsid w:val="00AC37B9"/>
    <w:rsid w:val="00B62DBF"/>
    <w:rsid w:val="00B8530D"/>
    <w:rsid w:val="00C66082"/>
    <w:rsid w:val="00E84D9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3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8402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4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biblioteka@gminanow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Janusz</cp:lastModifiedBy>
  <cp:revision>4</cp:revision>
  <dcterms:created xsi:type="dcterms:W3CDTF">2022-05-31T10:04:00Z</dcterms:created>
  <dcterms:modified xsi:type="dcterms:W3CDTF">2022-05-31T10:08:00Z</dcterms:modified>
</cp:coreProperties>
</file>